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584A0BB0"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spacing w:after="160" w:beforeAutospacing="0" w:afterAutospacing="0"/>
        <w:rPr>
          <w:rFonts w:ascii="Arial" w:hAnsi="Arial"/>
          <w:sz w:val="24"/>
          <w:color w:val="000000"/>
        </w:rPr>
      </w:pPr>
      <w:r>
        <w:rPr>
          <w:rFonts w:ascii="Calibri" w:hAnsi="Calibri"/>
          <w:sz w:val="20"/>
          <w:b w:val="1"/>
          <w:color w:val="000000"/>
        </w:rPr>
        <w:t xml:space="preserve">Πίνακας Συμμόρφωσης τεχνικών προδιαγραφών Web Application Firewalls </w:t>
      </w:r>
    </w:p>
    <w:tbl>
      <w:tblPr>
        <w:tblW w:w="10612" w:type="dxa"/>
        <w:tblCellMar>
          <w:top w:w="15" w:type="dxa"/>
          <w:left w:w="15" w:type="dxa"/>
          <w:bottom w:w="15" w:type="dxa"/>
          <w:right w:w="15" w:type="dxa"/>
        </w:tblCellMar>
        <w:tblLook w:val="04A0"/>
      </w:tblP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A/A</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jc w:val="center"/>
              <w:rPr>
                <w:rFonts w:ascii="Arial" w:hAnsi="Arial"/>
                <w:sz w:val="20"/>
              </w:rPr>
            </w:pPr>
            <w:r>
              <w:rPr>
                <w:rFonts w:ascii="Calibri" w:hAnsi="Calibri"/>
                <w:sz w:val="20"/>
                <w:b w:val="1"/>
                <w:color w:val="000000"/>
              </w:rPr>
              <w:t>Τεχνικές Προδιαγραφές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Calibri" w:hAnsi="Calibri"/>
                <w:sz w:val="20"/>
                <w:b w:val="1"/>
                <w:color w:val="000000"/>
              </w:rPr>
              <w:t>Απαίτηση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jc w:val="center"/>
              <w:rPr>
                <w:rFonts w:ascii="Arial" w:hAnsi="Arial"/>
                <w:sz w:val="20"/>
              </w:rPr>
            </w:pPr>
            <w:r>
              <w:rPr>
                <w:rFonts w:ascii="Calibri" w:hAnsi="Calibri"/>
                <w:sz w:val="20"/>
                <w:b w:val="1"/>
                <w:color w:val="000000"/>
              </w:rPr>
              <w:t>Απάντηση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jc w:val="center"/>
              <w:rPr>
                <w:rFonts w:ascii="Arial" w:hAnsi="Arial"/>
                <w:sz w:val="20"/>
              </w:rPr>
            </w:pPr>
            <w:r>
              <w:rPr>
                <w:rFonts w:ascii="Calibri" w:hAnsi="Calibri"/>
                <w:sz w:val="20"/>
                <w:b w:val="1"/>
                <w:color w:val="000000"/>
              </w:rPr>
              <w:t>Παραπομπή</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Γενικά</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προσφερόμενη λύση θα πρέπει να είναι φυσικό μηχάνημα</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Το προσφερόμενο σύστημα θα αποτελείται από 2 ιδίου τύπου Web Application Firewalls (cluster των 2 συσκευών)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εύκολης πρόσβασης στην κονσόλα διαχείρισης μέσω Web interface</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υψηλής διαθεσιμότητας HA</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SNMP</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καταγράφει όλα τα authenticated events τοπικά και μέσω syslog server</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 αναφερθεί</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1.7</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backup του πλήρες configuration</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1.8</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τοπικής βάσης χρηστών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 αναφερθεί</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1.9</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REST API για διασύνδεση με άλλες εφαρμογές.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 αναφερθεί</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Φυσικά χαρακτηριστικά και επιδόσεις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HTTP Throughput</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&gt;= </w:t>
            </w:r>
            <w:r>
              <w:rPr>
                <w:rFonts w:ascii="Calibri" w:hAnsi="Calibri"/>
                <w:sz w:val="20"/>
                <w:color w:val="000000"/>
                <w:lang w:val="en-US"/>
              </w:rPr>
              <w:t>1</w:t>
            </w:r>
            <w:r>
              <w:rPr>
                <w:rFonts w:ascii="Calibri" w:hAnsi="Calibri"/>
                <w:sz w:val="20"/>
                <w:color w:val="000000"/>
              </w:rPr>
              <w:t xml:space="preserve"> </w:t>
            </w:r>
            <w:r>
              <w:rPr>
                <w:rFonts w:ascii="Calibri" w:hAnsi="Calibri"/>
                <w:sz w:val="20"/>
                <w:color w:val="000000"/>
                <w:lang w:val="en-US"/>
              </w:rPr>
              <w:t>G</w:t>
            </w:r>
            <w:r>
              <w:rPr>
                <w:rFonts w:ascii="Calibri" w:hAnsi="Calibri"/>
                <w:sz w:val="20"/>
                <w:color w:val="000000"/>
              </w:rPr>
              <w:t>bps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Max HTTP trans/sec</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&gt;= </w:t>
            </w:r>
            <w:r>
              <w:rPr>
                <w:rFonts w:ascii="Calibri" w:hAnsi="Calibri"/>
                <w:sz w:val="20"/>
                <w:color w:val="000000"/>
                <w:lang w:val="en-US"/>
              </w:rPr>
              <w:t>35</w:t>
            </w:r>
            <w:r>
              <w:rPr>
                <w:rFonts w:ascii="Calibri" w:hAnsi="Calibri"/>
                <w:sz w:val="20"/>
                <w:color w:val="000000"/>
              </w:rPr>
              <w:t>.</w:t>
            </w:r>
            <w:r>
              <w:rPr>
                <w:rFonts w:ascii="Calibri" w:hAnsi="Calibri"/>
                <w:sz w:val="20"/>
                <w:color w:val="000000"/>
                <w:lang w:val="en-US"/>
              </w:rPr>
              <w:t>0</w:t>
            </w:r>
            <w:r>
              <w:rPr>
                <w:rFonts w:ascii="Calibri" w:hAnsi="Calibri"/>
                <w:sz w:val="20"/>
                <w:color w:val="000000"/>
              </w:rPr>
              <w:t>00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lang w:val="en-US"/>
              </w:rPr>
            </w:pPr>
            <w:r>
              <w:rPr>
                <w:rFonts w:ascii="Calibri" w:hAnsi="Calibri"/>
                <w:sz w:val="20"/>
                <w:color w:val="000000"/>
                <w:lang w:val="en-US"/>
              </w:rPr>
              <w:t>Max new HTTP connections/sec</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&gt;= </w:t>
            </w:r>
            <w:r>
              <w:rPr>
                <w:rFonts w:ascii="Calibri" w:hAnsi="Calibri"/>
                <w:sz w:val="20"/>
                <w:color w:val="000000"/>
                <w:lang w:val="en-US"/>
              </w:rPr>
              <w:t>30</w:t>
            </w:r>
            <w:r>
              <w:rPr>
                <w:rFonts w:ascii="Calibri" w:hAnsi="Calibri"/>
                <w:sz w:val="20"/>
                <w:color w:val="000000"/>
              </w:rPr>
              <w:t>.</w:t>
            </w:r>
            <w:r>
              <w:rPr>
                <w:rFonts w:ascii="Calibri" w:hAnsi="Calibri"/>
                <w:sz w:val="20"/>
                <w:color w:val="000000"/>
                <w:lang w:val="en-US"/>
              </w:rPr>
              <w:t>0</w:t>
            </w:r>
            <w:r>
              <w:rPr>
                <w:rFonts w:ascii="Calibri" w:hAnsi="Calibri"/>
                <w:sz w:val="20"/>
                <w:color w:val="000000"/>
              </w:rPr>
              <w:t>00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Max HTTP concurrent connection</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&gt;=</w:t>
            </w:r>
            <w:r>
              <w:rPr>
                <w:rFonts w:ascii="Calibri" w:hAnsi="Calibri"/>
                <w:sz w:val="20"/>
                <w:color w:val="000000"/>
                <w:lang w:val="en-US"/>
              </w:rPr>
              <w:t>70</w:t>
            </w:r>
            <w:r>
              <w:rPr>
                <w:rFonts w:ascii="Calibri" w:hAnsi="Calibri"/>
                <w:sz w:val="20"/>
                <w:color w:val="000000"/>
              </w:rPr>
              <w:t>0.000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HTTPS Throughput (2048 Key)</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&gt;= </w:t>
            </w:r>
            <w:r>
              <w:rPr>
                <w:rFonts w:ascii="Calibri" w:hAnsi="Calibri"/>
                <w:sz w:val="20"/>
                <w:color w:val="000000"/>
                <w:lang w:val="en-US"/>
              </w:rPr>
              <w:t>700</w:t>
            </w:r>
            <w:r>
              <w:rPr>
                <w:rFonts w:ascii="Calibri" w:hAnsi="Calibri"/>
                <w:sz w:val="20"/>
                <w:color w:val="000000"/>
              </w:rPr>
              <w:t xml:space="preserve"> Mbps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Max HTTPS trans/sec</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&gt;= </w:t>
            </w:r>
            <w:r>
              <w:rPr>
                <w:rFonts w:ascii="Calibri" w:hAnsi="Calibri"/>
                <w:sz w:val="20"/>
                <w:color w:val="000000"/>
                <w:lang w:val="en-US"/>
              </w:rPr>
              <w:t>15</w:t>
            </w:r>
            <w:r>
              <w:rPr>
                <w:rFonts w:ascii="Calibri" w:hAnsi="Calibri"/>
                <w:sz w:val="20"/>
                <w:color w:val="000000"/>
              </w:rPr>
              <w:t>.000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2.7</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lang w:val="en-US"/>
              </w:rPr>
            </w:pPr>
            <w:r>
              <w:rPr>
                <w:rFonts w:ascii="Calibri" w:hAnsi="Calibri"/>
                <w:sz w:val="20"/>
                <w:color w:val="000000"/>
                <w:lang w:val="en-US"/>
              </w:rPr>
              <w:t>Max new HTTPS connections/sec</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&gt;= </w:t>
            </w:r>
            <w:r>
              <w:rPr>
                <w:rFonts w:ascii="Calibri" w:hAnsi="Calibri"/>
                <w:sz w:val="20"/>
                <w:color w:val="000000"/>
                <w:lang w:val="en-US"/>
              </w:rPr>
              <w:t>10</w:t>
            </w:r>
            <w:r>
              <w:rPr>
                <w:rFonts w:ascii="Calibri" w:hAnsi="Calibri"/>
                <w:sz w:val="20"/>
                <w:color w:val="000000"/>
              </w:rPr>
              <w:t>.000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2.8</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Max HTTPS concurrent connection</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&gt;= 5</w:t>
            </w:r>
            <w:r>
              <w:rPr>
                <w:rFonts w:ascii="Calibri" w:hAnsi="Calibri"/>
                <w:sz w:val="20"/>
                <w:color w:val="000000"/>
                <w:lang w:val="en-US"/>
              </w:rPr>
              <w:t>0</w:t>
            </w:r>
            <w:r>
              <w:rPr>
                <w:rFonts w:ascii="Calibri" w:hAnsi="Calibri"/>
                <w:sz w:val="20"/>
                <w:color w:val="000000"/>
              </w:rPr>
              <w:t>0.000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2.9</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Network Interfaces (GE RJ45)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lang w:val="en-US"/>
              </w:rPr>
            </w:pPr>
            <w:r>
              <w:rPr>
                <w:rFonts w:ascii="Calibri" w:hAnsi="Calibri"/>
                <w:sz w:val="20"/>
                <w:color w:val="000000"/>
              </w:rPr>
              <w:t xml:space="preserve">&gt;= </w:t>
            </w:r>
            <w:r>
              <w:rPr>
                <w:rFonts w:ascii="Calibri" w:hAnsi="Calibri"/>
                <w:sz w:val="20"/>
                <w:color w:val="000000"/>
                <w:lang w:val="en-US"/>
              </w:rPr>
              <w:t>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2.10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Network Interfaces (SFP)</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 αναφερθούν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2.11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προτεινόμενη λύση θα πρέπει να υποστηρίζει τους παρακάτω τρόπους λειτουργίας:</w:t>
            </w:r>
          </w:p>
          <w:p>
            <w:pPr>
              <w:rPr>
                <w:rFonts w:ascii="Arial" w:hAnsi="Arial"/>
                <w:sz w:val="20"/>
                <w:color w:val="000000"/>
              </w:rPr>
              <w:numPr>
                <w:ilvl w:val="0"/>
                <w:numId w:val="1"/>
              </w:numPr>
            </w:pPr>
            <w:r>
              <w:rPr>
                <w:rFonts w:ascii="Calibri" w:hAnsi="Calibri"/>
                <w:sz w:val="20"/>
                <w:color w:val="000000"/>
              </w:rPr>
              <w:t>Inline Transparent</w:t>
            </w:r>
          </w:p>
          <w:p>
            <w:pPr>
              <w:rPr>
                <w:rFonts w:ascii="Arial" w:hAnsi="Arial"/>
                <w:sz w:val="20"/>
                <w:color w:val="000000"/>
              </w:rPr>
              <w:numPr>
                <w:ilvl w:val="0"/>
                <w:numId w:val="1"/>
              </w:numPr>
            </w:pPr>
            <w:r>
              <w:rPr>
                <w:rFonts w:ascii="Calibri" w:hAnsi="Calibri"/>
                <w:sz w:val="20"/>
                <w:color w:val="000000"/>
              </w:rPr>
              <w:t>True Transparent Proxy</w:t>
            </w:r>
          </w:p>
          <w:p>
            <w:pPr>
              <w:rPr>
                <w:rFonts w:ascii="Arial" w:hAnsi="Arial"/>
                <w:sz w:val="20"/>
                <w:color w:val="000000"/>
              </w:rPr>
              <w:numPr>
                <w:ilvl w:val="0"/>
                <w:numId w:val="1"/>
              </w:numPr>
            </w:pPr>
            <w:r>
              <w:rPr>
                <w:rFonts w:ascii="Calibri" w:hAnsi="Calibri"/>
                <w:sz w:val="20"/>
                <w:color w:val="000000"/>
              </w:rPr>
              <w:t>Reverse Proxy</w:t>
            </w:r>
          </w:p>
          <w:p>
            <w:pPr>
              <w:spacing w:after="160" w:beforeAutospacing="0" w:afterAutospacing="0"/>
              <w:rPr>
                <w:rFonts w:ascii="Arial" w:hAnsi="Arial"/>
                <w:sz w:val="20"/>
                <w:color w:val="000000"/>
              </w:rPr>
              <w:numPr>
                <w:ilvl w:val="0"/>
                <w:numId w:val="1"/>
              </w:numPr>
            </w:pPr>
            <w:r>
              <w:rPr>
                <w:rFonts w:ascii="Calibri" w:hAnsi="Calibri"/>
                <w:sz w:val="20"/>
                <w:color w:val="000000"/>
              </w:rPr>
              <w:t xml:space="preserve">Non-Inline Sniffing. </w:t>
            </w:r>
          </w:p>
          <w:p>
            <w:pPr>
              <w:rPr>
                <w:rFonts w:ascii="Arial" w:hAnsi="Arial"/>
                <w:sz w:val="20"/>
              </w:rPr>
            </w:pPr>
            <w:r>
              <w:rPr>
                <w:rFonts w:ascii="Calibri" w:hAnsi="Calibri"/>
                <w:sz w:val="20"/>
                <w:color w:val="000000"/>
              </w:rPr>
              <w:t>Περιγράψτε τους τρόπους λειτουργίας αναλυτικά</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2.12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κεντρικής διαχείρισης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2.13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multi-tenancy</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 xml:space="preserve">Να αναφερθεί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Χαρακτηριστικά ασφάλειας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 xml:space="preserve">Προστασία των web εφαρμογών και της υποδομής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9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υποστηρίζει το positive security model, δηλαδή να έχει τη δυνατότητα να κάνει ένα δυναμικό προφίλ (dynamic profiling/Auto learning) των εφαρμογών web που προστατεύει. Περιγράψτε πως αυτό υλοποιείται.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μπορεί να ενεργοποιεί Protection και Dynamic Profiling ταυτόχρονα χωρίς το ένα να επηρεάζει τη λειτουργία του άλλου.</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υποστηρίζει το negative security model, δηλαδή την προστασία των web εφαρμογών με βάση signatures.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εξαιρέσεων ανά signature</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 xml:space="preserve">Τα signatures θα πρέπει να είναι σε γκρουπ και να δίνεται η δυνατότητα αναζήτησης.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222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3.7</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υπάρχει signatures οι οποίες προστατεύουν κατ’ ελάχιστο από τις παρακάτω απειλές:</w:t>
            </w:r>
          </w:p>
          <w:p>
            <w:pPr>
              <w:rPr>
                <w:rFonts w:ascii="Arial" w:hAnsi="Arial"/>
                <w:sz w:val="20"/>
                <w:color w:val="000000"/>
              </w:rPr>
              <w:numPr>
                <w:ilvl w:val="0"/>
                <w:numId w:val="2"/>
              </w:numPr>
            </w:pPr>
            <w:r>
              <w:rPr>
                <w:rFonts w:ascii="Calibri" w:hAnsi="Calibri"/>
                <w:sz w:val="20"/>
                <w:color w:val="000000"/>
              </w:rPr>
              <w:t>Cross Site Scripting</w:t>
            </w:r>
          </w:p>
          <w:p>
            <w:pPr>
              <w:rPr>
                <w:rFonts w:ascii="Arial" w:hAnsi="Arial"/>
                <w:sz w:val="20"/>
                <w:color w:val="000000"/>
              </w:rPr>
              <w:numPr>
                <w:ilvl w:val="0"/>
                <w:numId w:val="2"/>
              </w:numPr>
            </w:pPr>
            <w:r>
              <w:rPr>
                <w:rFonts w:ascii="Calibri" w:hAnsi="Calibri"/>
                <w:sz w:val="20"/>
                <w:color w:val="000000"/>
              </w:rPr>
              <w:t>SQL Injection</w:t>
            </w:r>
          </w:p>
          <w:p>
            <w:pPr>
              <w:rPr>
                <w:rFonts w:ascii="Arial" w:hAnsi="Arial"/>
                <w:sz w:val="20"/>
                <w:color w:val="000000"/>
              </w:rPr>
              <w:numPr>
                <w:ilvl w:val="0"/>
                <w:numId w:val="2"/>
              </w:numPr>
            </w:pPr>
            <w:r>
              <w:rPr>
                <w:rFonts w:ascii="Calibri" w:hAnsi="Calibri"/>
                <w:sz w:val="20"/>
                <w:color w:val="000000"/>
              </w:rPr>
              <w:t>Generic Attacks</w:t>
            </w:r>
          </w:p>
          <w:p>
            <w:pPr>
              <w:rPr>
                <w:rFonts w:ascii="Arial" w:hAnsi="Arial"/>
                <w:sz w:val="20"/>
                <w:color w:val="000000"/>
              </w:rPr>
              <w:numPr>
                <w:ilvl w:val="0"/>
                <w:numId w:val="2"/>
              </w:numPr>
            </w:pPr>
            <w:r>
              <w:rPr>
                <w:rFonts w:ascii="Calibri" w:hAnsi="Calibri"/>
                <w:sz w:val="20"/>
                <w:color w:val="000000"/>
              </w:rPr>
              <w:t>Known Exploits</w:t>
            </w:r>
          </w:p>
          <w:p>
            <w:pPr>
              <w:rPr>
                <w:rFonts w:ascii="Arial" w:hAnsi="Arial"/>
                <w:sz w:val="20"/>
                <w:color w:val="000000"/>
              </w:rPr>
              <w:numPr>
                <w:ilvl w:val="0"/>
                <w:numId w:val="2"/>
              </w:numPr>
            </w:pPr>
            <w:r>
              <w:rPr>
                <w:rFonts w:ascii="Calibri" w:hAnsi="Calibri"/>
                <w:sz w:val="20"/>
                <w:color w:val="000000"/>
              </w:rPr>
              <w:t>Trojans</w:t>
            </w:r>
          </w:p>
          <w:p>
            <w:pPr>
              <w:rPr>
                <w:rFonts w:ascii="Arial" w:hAnsi="Arial"/>
                <w:sz w:val="20"/>
                <w:color w:val="000000"/>
              </w:rPr>
              <w:numPr>
                <w:ilvl w:val="0"/>
                <w:numId w:val="2"/>
              </w:numPr>
            </w:pPr>
            <w:r>
              <w:rPr>
                <w:rFonts w:ascii="Calibri" w:hAnsi="Calibri"/>
                <w:sz w:val="20"/>
                <w:color w:val="000000"/>
              </w:rPr>
              <w:t>Information Disclosure</w:t>
            </w:r>
          </w:p>
          <w:p>
            <w:pPr>
              <w:rPr>
                <w:rFonts w:ascii="Arial" w:hAnsi="Arial"/>
                <w:sz w:val="20"/>
                <w:color w:val="000000"/>
              </w:rPr>
              <w:numPr>
                <w:ilvl w:val="0"/>
                <w:numId w:val="2"/>
              </w:numPr>
            </w:pPr>
            <w:r>
              <w:rPr>
                <w:rFonts w:ascii="Calibri" w:hAnsi="Calibri"/>
                <w:sz w:val="20"/>
                <w:color w:val="000000"/>
              </w:rPr>
              <w:t>Bad Robot</w:t>
            </w:r>
          </w:p>
          <w:p>
            <w:pPr>
              <w:spacing w:after="160" w:beforeAutospacing="0" w:afterAutospacing="0"/>
              <w:rPr>
                <w:rFonts w:ascii="Arial" w:hAnsi="Arial"/>
                <w:sz w:val="20"/>
                <w:color w:val="000000"/>
              </w:rPr>
              <w:numPr>
                <w:ilvl w:val="0"/>
                <w:numId w:val="2"/>
              </w:numPr>
            </w:pPr>
            <w:r>
              <w:rPr>
                <w:rFonts w:ascii="Calibri" w:hAnsi="Calibri"/>
                <w:sz w:val="20"/>
                <w:color w:val="000000"/>
              </w:rPr>
              <w:t>Credit Card Detection</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Anti-DDoS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4.1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προσφέρει Anti-DDoS προστασία σε layer 7</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5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4.2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προστασία από DDoS θα πρέπει να υποστηρίζει κατ’ ελάχιστον τα παρακάτω:</w:t>
            </w:r>
          </w:p>
          <w:p>
            <w:pPr>
              <w:rPr>
                <w:rFonts w:ascii="Arial" w:hAnsi="Arial"/>
                <w:sz w:val="20"/>
                <w:color w:val="000000"/>
              </w:rPr>
              <w:numPr>
                <w:ilvl w:val="0"/>
                <w:numId w:val="3"/>
              </w:numPr>
            </w:pPr>
            <w:r>
              <w:rPr>
                <w:rFonts w:ascii="Calibri" w:hAnsi="Calibri"/>
                <w:sz w:val="20"/>
                <w:color w:val="000000"/>
              </w:rPr>
              <w:t>HTTP Request limit per source</w:t>
            </w:r>
          </w:p>
          <w:p>
            <w:pPr>
              <w:rPr>
                <w:rFonts w:ascii="Arial" w:hAnsi="Arial"/>
                <w:sz w:val="20"/>
                <w:color w:val="000000"/>
              </w:rPr>
              <w:numPr>
                <w:ilvl w:val="0"/>
                <w:numId w:val="3"/>
              </w:numPr>
            </w:pPr>
            <w:r>
              <w:rPr>
                <w:rFonts w:ascii="Calibri" w:hAnsi="Calibri"/>
                <w:sz w:val="20"/>
                <w:color w:val="000000"/>
              </w:rPr>
              <w:t>TCP Connections using same cookie</w:t>
            </w:r>
          </w:p>
          <w:p>
            <w:pPr>
              <w:rPr>
                <w:rFonts w:ascii="Arial" w:hAnsi="Arial"/>
                <w:sz w:val="20"/>
                <w:color w:val="000000"/>
                <w:lang w:val="en-US"/>
              </w:rPr>
              <w:numPr>
                <w:ilvl w:val="0"/>
                <w:numId w:val="3"/>
              </w:numPr>
            </w:pPr>
            <w:r>
              <w:rPr>
                <w:rFonts w:ascii="Calibri" w:hAnsi="Calibri"/>
                <w:sz w:val="20"/>
                <w:color w:val="000000"/>
                <w:lang w:val="en-US"/>
              </w:rPr>
              <w:t>HTTP requests using the same cookie</w:t>
            </w:r>
          </w:p>
          <w:p>
            <w:pPr>
              <w:spacing w:after="160" w:beforeAutospacing="0" w:afterAutospacing="0"/>
              <w:rPr>
                <w:rFonts w:ascii="Arial" w:hAnsi="Arial"/>
                <w:sz w:val="20"/>
                <w:color w:val="000000"/>
              </w:rPr>
              <w:numPr>
                <w:ilvl w:val="0"/>
                <w:numId w:val="3"/>
              </w:numPr>
            </w:pPr>
            <w:r>
              <w:rPr>
                <w:rFonts w:ascii="Calibri" w:hAnsi="Calibri"/>
                <w:sz w:val="20"/>
                <w:color w:val="000000"/>
              </w:rPr>
              <w:t>Μηχανισμός challenge response ο οποίος θα είναι τελείως transparent για τον τελικό χρήστη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Προστασία αλλαγής περιεχομένου web-site  (Αnti-web-defacement)</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1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5.1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anti-web-defacement, δηλαδή θα πρέπει να έχει τη δυνατότητα να αναγνωρίζει και να αποτρέπει τις προσπάθειες αλλαγής του περιεχομένου ενός web site καθώς επίσης να έχει αυτόματους μηχανισμούς επαναφοράς του στην αρχική του μορφή</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7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5.2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αντιγράφει τα περιεχόμενα του web site στον δίσκο που διαθέτει και να τα συγκρίνει ανά τακτά χρονικά διαστήματα με αυτά που βρίσκονται στο ίδιο το web site</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5.3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δίνεται η δυνατότητα αυτόματης ή ελεγχόμενης επαναφοράς των αρχείων που έχουν αλλαχθεί</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5.4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Για την αντιγραφή αρχείων θα πρέπει να υποστηρίζονται κατ’ ελάχιστον τα FTP/SSH/Windows File Share</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Επιβεβαίωση των HTTP RFC standards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6.1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επιβεβαιώνει τα HTTP RFC standards.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284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6.2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Nα ελέγχονται και να επιβάλλονται:</w:t>
            </w:r>
          </w:p>
          <w:p>
            <w:pPr>
              <w:rPr>
                <w:rFonts w:ascii="Arial" w:hAnsi="Arial"/>
                <w:sz w:val="20"/>
                <w:color w:val="000000"/>
              </w:rPr>
              <w:numPr>
                <w:ilvl w:val="0"/>
                <w:numId w:val="4"/>
              </w:numPr>
            </w:pPr>
            <w:r>
              <w:rPr>
                <w:rFonts w:ascii="Calibri" w:hAnsi="Calibri"/>
                <w:sz w:val="20"/>
                <w:color w:val="000000"/>
              </w:rPr>
              <w:t>Illegal Host Name</w:t>
            </w:r>
          </w:p>
          <w:p>
            <w:pPr>
              <w:rPr>
                <w:rFonts w:ascii="Arial" w:hAnsi="Arial"/>
                <w:sz w:val="20"/>
                <w:color w:val="000000"/>
              </w:rPr>
              <w:numPr>
                <w:ilvl w:val="0"/>
                <w:numId w:val="4"/>
              </w:numPr>
            </w:pPr>
            <w:r>
              <w:rPr>
                <w:rFonts w:ascii="Calibri" w:hAnsi="Calibri"/>
                <w:sz w:val="20"/>
                <w:color w:val="000000"/>
              </w:rPr>
              <w:t>Illegal HTTP Version</w:t>
            </w:r>
          </w:p>
          <w:p>
            <w:pPr>
              <w:rPr>
                <w:rFonts w:ascii="Arial" w:hAnsi="Arial"/>
                <w:sz w:val="20"/>
                <w:color w:val="000000"/>
              </w:rPr>
              <w:numPr>
                <w:ilvl w:val="0"/>
                <w:numId w:val="4"/>
              </w:numPr>
            </w:pPr>
            <w:r>
              <w:rPr>
                <w:rFonts w:ascii="Calibri" w:hAnsi="Calibri"/>
                <w:sz w:val="20"/>
                <w:color w:val="000000"/>
              </w:rPr>
              <w:t>Illegal HTTP Request Method</w:t>
            </w:r>
          </w:p>
          <w:p>
            <w:pPr>
              <w:rPr>
                <w:rFonts w:ascii="Arial" w:hAnsi="Arial"/>
                <w:sz w:val="20"/>
                <w:color w:val="000000"/>
              </w:rPr>
              <w:numPr>
                <w:ilvl w:val="0"/>
                <w:numId w:val="4"/>
              </w:numPr>
            </w:pPr>
            <w:r>
              <w:rPr>
                <w:rFonts w:ascii="Calibri" w:hAnsi="Calibri"/>
                <w:sz w:val="20"/>
                <w:color w:val="000000"/>
              </w:rPr>
              <w:t>Content Length</w:t>
            </w:r>
          </w:p>
          <w:p>
            <w:pPr>
              <w:rPr>
                <w:rFonts w:ascii="Arial" w:hAnsi="Arial"/>
                <w:sz w:val="20"/>
                <w:color w:val="000000"/>
              </w:rPr>
              <w:numPr>
                <w:ilvl w:val="0"/>
                <w:numId w:val="4"/>
              </w:numPr>
            </w:pPr>
            <w:r>
              <w:rPr>
                <w:rFonts w:ascii="Calibri" w:hAnsi="Calibri"/>
                <w:sz w:val="20"/>
                <w:color w:val="000000"/>
              </w:rPr>
              <w:t>Body Length</w:t>
            </w:r>
          </w:p>
          <w:p>
            <w:pPr>
              <w:rPr>
                <w:rFonts w:ascii="Arial" w:hAnsi="Arial"/>
                <w:sz w:val="20"/>
                <w:color w:val="000000"/>
              </w:rPr>
              <w:numPr>
                <w:ilvl w:val="0"/>
                <w:numId w:val="4"/>
              </w:numPr>
            </w:pPr>
            <w:r>
              <w:rPr>
                <w:rFonts w:ascii="Calibri" w:hAnsi="Calibri"/>
                <w:sz w:val="20"/>
                <w:color w:val="000000"/>
              </w:rPr>
              <w:t>Header Length</w:t>
            </w:r>
          </w:p>
          <w:p>
            <w:pPr>
              <w:rPr>
                <w:rFonts w:ascii="Arial" w:hAnsi="Arial"/>
                <w:sz w:val="20"/>
                <w:color w:val="000000"/>
              </w:rPr>
              <w:numPr>
                <w:ilvl w:val="0"/>
                <w:numId w:val="4"/>
              </w:numPr>
            </w:pPr>
            <w:r>
              <w:rPr>
                <w:rFonts w:ascii="Calibri" w:hAnsi="Calibri"/>
                <w:sz w:val="20"/>
                <w:color w:val="000000"/>
              </w:rPr>
              <w:t>Header Line Length</w:t>
            </w:r>
          </w:p>
          <w:p>
            <w:pPr>
              <w:rPr>
                <w:rFonts w:ascii="Arial" w:hAnsi="Arial"/>
                <w:sz w:val="20"/>
                <w:color w:val="000000"/>
                <w:lang w:val="en-US"/>
              </w:rPr>
              <w:numPr>
                <w:ilvl w:val="0"/>
                <w:numId w:val="4"/>
              </w:numPr>
            </w:pPr>
            <w:r>
              <w:rPr>
                <w:rFonts w:ascii="Calibri" w:hAnsi="Calibri"/>
                <w:sz w:val="20"/>
                <w:color w:val="000000"/>
                <w:lang w:val="en-US"/>
              </w:rPr>
              <w:t>Number of Header Lines in Request</w:t>
            </w:r>
          </w:p>
          <w:p>
            <w:pPr>
              <w:rPr>
                <w:rFonts w:ascii="Arial" w:hAnsi="Arial"/>
                <w:sz w:val="20"/>
                <w:color w:val="000000"/>
                <w:lang w:val="en-US"/>
              </w:rPr>
              <w:numPr>
                <w:ilvl w:val="0"/>
                <w:numId w:val="4"/>
              </w:numPr>
            </w:pPr>
            <w:r>
              <w:rPr>
                <w:rFonts w:ascii="Calibri" w:hAnsi="Calibri"/>
                <w:sz w:val="20"/>
                <w:color w:val="000000"/>
                <w:lang w:val="en-US"/>
              </w:rPr>
              <w:t>Total URL and Body Parameters Length</w:t>
            </w:r>
          </w:p>
          <w:p>
            <w:pPr>
              <w:rPr>
                <w:rFonts w:ascii="Arial" w:hAnsi="Arial"/>
                <w:sz w:val="20"/>
                <w:color w:val="000000"/>
              </w:rPr>
              <w:numPr>
                <w:ilvl w:val="0"/>
                <w:numId w:val="4"/>
              </w:numPr>
            </w:pPr>
            <w:r>
              <w:rPr>
                <w:rFonts w:ascii="Calibri" w:hAnsi="Calibri"/>
                <w:sz w:val="20"/>
                <w:color w:val="000000"/>
              </w:rPr>
              <w:t>Number of URL Parameters</w:t>
            </w:r>
          </w:p>
          <w:p>
            <w:pPr>
              <w:rPr>
                <w:rFonts w:ascii="Arial" w:hAnsi="Arial"/>
                <w:sz w:val="20"/>
                <w:color w:val="000000"/>
              </w:rPr>
              <w:numPr>
                <w:ilvl w:val="0"/>
                <w:numId w:val="4"/>
              </w:numPr>
            </w:pPr>
            <w:r>
              <w:rPr>
                <w:rFonts w:ascii="Calibri" w:hAnsi="Calibri"/>
                <w:sz w:val="20"/>
                <w:color w:val="000000"/>
              </w:rPr>
              <w:t>Number of Cookies in Request</w:t>
            </w:r>
          </w:p>
          <w:p>
            <w:pPr>
              <w:rPr>
                <w:rFonts w:ascii="Arial" w:hAnsi="Arial"/>
                <w:sz w:val="20"/>
                <w:color w:val="000000"/>
                <w:lang w:val="en-US"/>
              </w:rPr>
              <w:numPr>
                <w:ilvl w:val="0"/>
                <w:numId w:val="4"/>
              </w:numPr>
            </w:pPr>
            <w:r>
              <w:rPr>
                <w:rFonts w:ascii="Calibri" w:hAnsi="Calibri"/>
                <w:sz w:val="20"/>
                <w:color w:val="000000"/>
                <w:lang w:val="en-US"/>
              </w:rPr>
              <w:t>Number of ranges in Range Header</w:t>
            </w:r>
          </w:p>
          <w:p>
            <w:pPr>
              <w:spacing w:after="160" w:beforeAutospacing="0" w:afterAutospacing="0"/>
              <w:rPr>
                <w:rFonts w:ascii="Arial" w:hAnsi="Arial"/>
                <w:sz w:val="20"/>
                <w:color w:val="000000"/>
              </w:rPr>
              <w:numPr>
                <w:ilvl w:val="0"/>
                <w:numId w:val="4"/>
              </w:numPr>
            </w:pPr>
            <w:r>
              <w:rPr>
                <w:rFonts w:ascii="Calibri" w:hAnsi="Calibri"/>
                <w:sz w:val="20"/>
                <w:color w:val="000000"/>
              </w:rPr>
              <w:t>Malformed Request</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 αναφερθούν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7</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Επιβολή επιχειρησιακής λογικής των εφαρμογών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7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7.1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Επιβολή αρχικών σελίδων. Ο χρήστης θα πρέπει να προσπελάσει την αρχική σελίδα πριν προχωρήσει στην επόμενη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 αναφέρεται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7.2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μπορεί να μαθαίνει αυτόματα τις απαιτούμενες παραμέτρους των URLs και να τις επιβάλλει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7.3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μπορεί να ανιχνεύει την χρήση cookies σε επίπεδο σελίδας URL</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1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7.4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Μηχανισμοί τροποποίησης του περιεχομένου:</w:t>
            </w:r>
          </w:p>
          <w:p>
            <w:pPr>
              <w:rPr>
                <w:rFonts w:ascii="Arial" w:hAnsi="Arial"/>
                <w:sz w:val="20"/>
              </w:rPr>
            </w:pPr>
            <w:r>
              <w:rPr>
                <w:rFonts w:ascii="Calibri" w:hAnsi="Calibri"/>
                <w:sz w:val="20"/>
                <w:color w:val="000000"/>
              </w:rPr>
              <w:t>• URL rewriting (obfuscation)</w:t>
            </w:r>
          </w:p>
          <w:p>
            <w:pPr>
              <w:rPr>
                <w:rFonts w:ascii="Arial" w:hAnsi="Arial"/>
                <w:sz w:val="20"/>
                <w:lang w:val="en-US"/>
              </w:rPr>
            </w:pPr>
            <w:r>
              <w:rPr>
                <w:rFonts w:ascii="Calibri" w:hAnsi="Calibri"/>
                <w:sz w:val="20"/>
                <w:color w:val="000000"/>
                <w:lang w:val="en-US"/>
              </w:rPr>
              <w:t>• Cookie signing</w:t>
            </w:r>
          </w:p>
          <w:p>
            <w:pPr>
              <w:rPr>
                <w:rFonts w:ascii="Arial" w:hAnsi="Arial"/>
                <w:sz w:val="20"/>
                <w:lang w:val="en-US"/>
              </w:rPr>
            </w:pPr>
            <w:r>
              <w:rPr>
                <w:rFonts w:ascii="Calibri" w:hAnsi="Calibri"/>
                <w:sz w:val="20"/>
                <w:color w:val="000000"/>
                <w:lang w:val="en-US"/>
              </w:rPr>
              <w:t>• Cookie encryption</w:t>
            </w:r>
          </w:p>
          <w:p>
            <w:pPr>
              <w:rPr>
                <w:rFonts w:ascii="Arial" w:hAnsi="Arial"/>
                <w:sz w:val="20"/>
                <w:lang w:val="en-US"/>
              </w:rPr>
            </w:pPr>
            <w:r>
              <w:rPr>
                <w:rFonts w:ascii="Calibri" w:hAnsi="Calibri"/>
                <w:sz w:val="20"/>
                <w:color w:val="000000"/>
                <w:lang w:val="en-US"/>
              </w:rPr>
              <w:t>• Custom error messages</w:t>
            </w:r>
          </w:p>
          <w:p>
            <w:pPr>
              <w:rPr>
                <w:rFonts w:ascii="Arial" w:hAnsi="Arial"/>
                <w:sz w:val="20"/>
              </w:rPr>
            </w:pPr>
            <w:r>
              <w:rPr>
                <w:rFonts w:ascii="Calibri" w:hAnsi="Calibri"/>
                <w:sz w:val="20"/>
                <w:color w:val="000000"/>
              </w:rPr>
              <w:t>• Error code handling</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 αναφέρονται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8</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Δυνατότητες Application Delivery</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Calibri" w:hAnsi="Calibri"/>
                <w:sz w:val="20"/>
                <w:b w:val="1"/>
                <w:color w:val="000000"/>
              </w:rPr>
              <w:t>Εάν παρέχονται, να αναφέρονται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8.1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b w:val="1"/>
                <w:color w:val="000000"/>
              </w:rPr>
              <w:t>Διαμοιρασμός Φορτίου (Load Balancing)</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8.2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lang w:val="en-US"/>
              </w:rPr>
            </w:pPr>
            <w:r>
              <w:rPr>
                <w:rFonts w:ascii="Calibri" w:hAnsi="Calibri"/>
                <w:sz w:val="20"/>
                <w:color w:val="000000"/>
              </w:rPr>
              <w:t>Υποστήριξη</w:t>
            </w:r>
            <w:r>
              <w:rPr>
                <w:rFonts w:ascii="Calibri" w:hAnsi="Calibri"/>
                <w:sz w:val="20"/>
                <w:color w:val="000000"/>
                <w:lang w:val="en-US"/>
              </w:rPr>
              <w:t xml:space="preserve"> Server Load Balancing </w:t>
            </w:r>
            <w:r>
              <w:rPr>
                <w:rFonts w:ascii="Calibri" w:hAnsi="Calibri"/>
                <w:sz w:val="20"/>
                <w:color w:val="000000"/>
              </w:rPr>
              <w:t>σε</w:t>
            </w:r>
            <w:r>
              <w:rPr>
                <w:rFonts w:ascii="Calibri" w:hAnsi="Calibri"/>
                <w:sz w:val="20"/>
                <w:color w:val="000000"/>
                <w:lang w:val="en-US"/>
              </w:rPr>
              <w:t xml:space="preserve"> </w:t>
            </w:r>
            <w:r>
              <w:rPr>
                <w:rFonts w:ascii="Calibri" w:hAnsi="Calibri"/>
                <w:sz w:val="20"/>
                <w:color w:val="000000"/>
              </w:rPr>
              <w:t>πολλαπλούς</w:t>
            </w:r>
            <w:r>
              <w:rPr>
                <w:rFonts w:ascii="Calibri" w:hAnsi="Calibri"/>
                <w:sz w:val="20"/>
                <w:color w:val="000000"/>
                <w:lang w:val="en-US"/>
              </w:rPr>
              <w:t xml:space="preserve"> servers.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lang w:val="en-US"/>
              </w:rPr>
            </w:pPr>
            <w:r>
              <w:rPr>
                <w:rFonts w:ascii="Arial" w:hAnsi="Arial"/>
                <w:sz w:val="20"/>
                <w:lang w:val="en-US"/>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lang w:val="en-US"/>
              </w:rPr>
            </w:pPr>
            <w:r>
              <w:rPr>
                <w:rFonts w:ascii="Arial" w:hAnsi="Arial"/>
                <w:sz w:val="20"/>
                <w:lang w:val="en-US"/>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lang w:val="en-US"/>
              </w:rPr>
            </w:pPr>
            <w:r>
              <w:rPr>
                <w:rFonts w:ascii="Arial" w:hAnsi="Arial"/>
                <w:sz w:val="20"/>
                <w:lang w:val="en-US"/>
              </w:rPr>
              <w:t> </w:t>
            </w:r>
          </w:p>
        </w:tc>
      </w:tr>
      <w:tr>
        <w:trPr>
          <w:trHeight w:hRule="atLeast" w:val="9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8.3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των παρακάτω load balancing αλγόριθμων:</w:t>
            </w:r>
          </w:p>
          <w:p>
            <w:pPr>
              <w:rPr>
                <w:rFonts w:ascii="Arial" w:hAnsi="Arial"/>
                <w:sz w:val="20"/>
                <w:color w:val="000000"/>
              </w:rPr>
              <w:numPr>
                <w:ilvl w:val="0"/>
                <w:numId w:val="5"/>
              </w:numPr>
            </w:pPr>
            <w:r>
              <w:rPr>
                <w:rFonts w:ascii="Calibri" w:hAnsi="Calibri"/>
                <w:sz w:val="20"/>
                <w:color w:val="000000"/>
              </w:rPr>
              <w:t>Round Robin</w:t>
            </w:r>
          </w:p>
          <w:p>
            <w:pPr>
              <w:rPr>
                <w:rFonts w:ascii="Arial" w:hAnsi="Arial"/>
                <w:sz w:val="20"/>
                <w:color w:val="000000"/>
              </w:rPr>
              <w:numPr>
                <w:ilvl w:val="0"/>
                <w:numId w:val="5"/>
              </w:numPr>
            </w:pPr>
            <w:r>
              <w:rPr>
                <w:rFonts w:ascii="Calibri" w:hAnsi="Calibri"/>
                <w:sz w:val="20"/>
                <w:color w:val="000000"/>
              </w:rPr>
              <w:t>Weighted Round Robin</w:t>
            </w:r>
          </w:p>
          <w:p>
            <w:pPr>
              <w:spacing w:after="160" w:beforeAutospacing="0" w:afterAutospacing="0"/>
              <w:rPr>
                <w:rFonts w:ascii="Arial" w:hAnsi="Arial"/>
                <w:sz w:val="20"/>
                <w:color w:val="000000"/>
              </w:rPr>
              <w:numPr>
                <w:ilvl w:val="0"/>
                <w:numId w:val="5"/>
              </w:numPr>
            </w:pPr>
            <w:r>
              <w:rPr>
                <w:rFonts w:ascii="Calibri" w:hAnsi="Calibri"/>
                <w:sz w:val="20"/>
                <w:color w:val="000000"/>
              </w:rPr>
              <w:t>Least Connection</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62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8.4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server persistence και κατ’ ελάχιστο των παρακάτω persistence δυνατοτήτων:</w:t>
            </w:r>
          </w:p>
          <w:p>
            <w:pPr>
              <w:rPr>
                <w:rFonts w:ascii="Arial" w:hAnsi="Arial"/>
                <w:sz w:val="20"/>
                <w:color w:val="000000"/>
              </w:rPr>
              <w:numPr>
                <w:ilvl w:val="0"/>
                <w:numId w:val="6"/>
              </w:numPr>
            </w:pPr>
            <w:r>
              <w:rPr>
                <w:rFonts w:ascii="Calibri" w:hAnsi="Calibri"/>
                <w:sz w:val="20"/>
                <w:color w:val="000000"/>
              </w:rPr>
              <w:t>Persistent IP</w:t>
            </w:r>
          </w:p>
          <w:p>
            <w:pPr>
              <w:rPr>
                <w:rFonts w:ascii="Arial" w:hAnsi="Arial"/>
                <w:sz w:val="20"/>
                <w:color w:val="000000"/>
              </w:rPr>
              <w:numPr>
                <w:ilvl w:val="0"/>
                <w:numId w:val="6"/>
              </w:numPr>
            </w:pPr>
            <w:r>
              <w:rPr>
                <w:rFonts w:ascii="Calibri" w:hAnsi="Calibri"/>
                <w:sz w:val="20"/>
                <w:color w:val="000000"/>
              </w:rPr>
              <w:t>Persistent Cookie</w:t>
            </w:r>
          </w:p>
          <w:p>
            <w:pPr>
              <w:rPr>
                <w:rFonts w:ascii="Arial" w:hAnsi="Arial"/>
                <w:sz w:val="20"/>
                <w:color w:val="000000"/>
              </w:rPr>
              <w:numPr>
                <w:ilvl w:val="0"/>
                <w:numId w:val="6"/>
              </w:numPr>
            </w:pPr>
            <w:r>
              <w:rPr>
                <w:rFonts w:ascii="Calibri" w:hAnsi="Calibri"/>
                <w:sz w:val="20"/>
                <w:color w:val="000000"/>
              </w:rPr>
              <w:t>Insert Cookie</w:t>
            </w:r>
          </w:p>
          <w:p>
            <w:pPr>
              <w:rPr>
                <w:rFonts w:ascii="Arial" w:hAnsi="Arial"/>
                <w:sz w:val="20"/>
                <w:color w:val="000000"/>
              </w:rPr>
              <w:numPr>
                <w:ilvl w:val="0"/>
                <w:numId w:val="6"/>
              </w:numPr>
            </w:pPr>
            <w:r>
              <w:rPr>
                <w:rFonts w:ascii="Calibri" w:hAnsi="Calibri"/>
                <w:sz w:val="20"/>
                <w:color w:val="000000"/>
              </w:rPr>
              <w:t>ASP Session ID</w:t>
            </w:r>
          </w:p>
          <w:p>
            <w:pPr>
              <w:rPr>
                <w:rFonts w:ascii="Arial" w:hAnsi="Arial"/>
                <w:sz w:val="20"/>
                <w:color w:val="000000"/>
              </w:rPr>
              <w:numPr>
                <w:ilvl w:val="0"/>
                <w:numId w:val="6"/>
              </w:numPr>
            </w:pPr>
            <w:r>
              <w:rPr>
                <w:rFonts w:ascii="Calibri" w:hAnsi="Calibri"/>
                <w:sz w:val="20"/>
                <w:color w:val="000000"/>
              </w:rPr>
              <w:t>PHP Session ID</w:t>
            </w:r>
          </w:p>
          <w:p>
            <w:pPr>
              <w:spacing w:after="160" w:beforeAutospacing="0" w:afterAutospacing="0"/>
              <w:rPr>
                <w:rFonts w:ascii="Arial" w:hAnsi="Arial"/>
                <w:sz w:val="20"/>
                <w:color w:val="000000"/>
              </w:rPr>
              <w:numPr>
                <w:ilvl w:val="0"/>
                <w:numId w:val="6"/>
              </w:numPr>
            </w:pPr>
            <w:r>
              <w:rPr>
                <w:rFonts w:ascii="Calibri" w:hAnsi="Calibri"/>
                <w:sz w:val="20"/>
                <w:color w:val="000000"/>
              </w:rPr>
              <w:t>JSP Session ID</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8.5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αφαίρεσης ενός server από το Pool με εύκολο τρόπο για λόγους συντήρησης χωρίς αν υπάρχει καμία διατάραξη στο user experience</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3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8.6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Πραγματοποίηση συνεχών health checks για λόγους αφαίρεσης από το pool των διαθέσιμων servers σε περίπτωση που κάποιος δεν είναι διαθέσιμος.</w:t>
            </w:r>
          </w:p>
          <w:p>
            <w:pPr>
              <w:rPr>
                <w:rFonts w:ascii="Arial" w:hAnsi="Arial"/>
                <w:sz w:val="20"/>
              </w:rPr>
            </w:pPr>
            <w:r>
              <w:rPr>
                <w:rFonts w:ascii="Calibri" w:hAnsi="Calibri"/>
                <w:sz w:val="20"/>
                <w:color w:val="000000"/>
              </w:rPr>
              <w:t>Η λειτουργία αυτή θα πρέπει να είναι διαθέσιμη τόσο σε servers που γίνονται load balanced όσο και σε αυτούς που δεν γίνονται.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color w:val="000000"/>
              </w:rPr>
              <w:t>9</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Publishing εφαρμογών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9.1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Υποστήριξη publishing web εφαρμογών και παροχή δυνατοτήτων SSO πρόσβασης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4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9.2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 xml:space="preserve">Υποστήριξη των πιο συνηθισμένων εφαρμογών </w:t>
            </w:r>
          </w:p>
          <w:p>
            <w:pPr>
              <w:rPr>
                <w:rFonts w:ascii="Arial" w:hAnsi="Arial"/>
                <w:sz w:val="18"/>
                <w:color w:val="000000"/>
              </w:rPr>
              <w:numPr>
                <w:ilvl w:val="0"/>
                <w:numId w:val="7"/>
              </w:numPr>
            </w:pPr>
            <w:r>
              <w:rPr>
                <w:rFonts w:ascii="Calibri" w:hAnsi="Calibri"/>
                <w:sz w:val="18"/>
                <w:color w:val="000000"/>
              </w:rPr>
              <w:t>Microsoft ActiveSync</w:t>
            </w:r>
          </w:p>
          <w:p>
            <w:pPr>
              <w:rPr>
                <w:rFonts w:ascii="Arial" w:hAnsi="Arial"/>
                <w:sz w:val="18"/>
                <w:color w:val="000000"/>
              </w:rPr>
              <w:numPr>
                <w:ilvl w:val="0"/>
                <w:numId w:val="7"/>
              </w:numPr>
            </w:pPr>
            <w:r>
              <w:rPr>
                <w:rFonts w:ascii="Calibri" w:hAnsi="Calibri"/>
                <w:sz w:val="18"/>
                <w:color w:val="000000"/>
              </w:rPr>
              <w:t>Microsoft Outlook Web Access</w:t>
            </w:r>
          </w:p>
          <w:p>
            <w:pPr>
              <w:rPr>
                <w:rFonts w:ascii="Arial" w:hAnsi="Arial"/>
                <w:sz w:val="18"/>
                <w:color w:val="000000"/>
              </w:rPr>
              <w:numPr>
                <w:ilvl w:val="0"/>
                <w:numId w:val="7"/>
              </w:numPr>
            </w:pPr>
            <w:r>
              <w:rPr>
                <w:rFonts w:ascii="Calibri" w:hAnsi="Calibri"/>
                <w:sz w:val="18"/>
                <w:color w:val="000000"/>
              </w:rPr>
              <w:t>Microsoft SharePoint</w:t>
            </w:r>
          </w:p>
          <w:p>
            <w:pPr>
              <w:rPr>
                <w:rFonts w:ascii="Arial" w:hAnsi="Arial"/>
                <w:sz w:val="18"/>
                <w:color w:val="000000"/>
              </w:rPr>
              <w:numPr>
                <w:ilvl w:val="0"/>
                <w:numId w:val="7"/>
              </w:numPr>
            </w:pPr>
            <w:r>
              <w:rPr>
                <w:rFonts w:ascii="Calibri" w:hAnsi="Calibri"/>
                <w:sz w:val="18"/>
                <w:color w:val="000000"/>
              </w:rPr>
              <w:t>Microsoft Lync</w:t>
            </w:r>
          </w:p>
          <w:p>
            <w:pPr>
              <w:spacing w:after="160" w:beforeAutospacing="0" w:afterAutospacing="0"/>
              <w:rPr>
                <w:rFonts w:ascii="Arial" w:hAnsi="Arial"/>
                <w:sz w:val="20"/>
                <w:color w:val="000000"/>
                <w:lang w:val="en-US"/>
              </w:rPr>
              <w:numPr>
                <w:ilvl w:val="0"/>
                <w:numId w:val="7"/>
              </w:numPr>
            </w:pPr>
            <w:r>
              <w:rPr>
                <w:rFonts w:ascii="Calibri" w:hAnsi="Calibri"/>
                <w:sz w:val="18"/>
                <w:color w:val="000000"/>
                <w:lang w:val="en-US"/>
              </w:rPr>
              <w:t>Other off-the-shelf applications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lang w:val="en-US"/>
              </w:rPr>
            </w:pPr>
            <w:r>
              <w:rPr>
                <w:rFonts w:ascii="Arial" w:hAnsi="Arial"/>
                <w:sz w:val="20"/>
                <w:lang w:val="en-US"/>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lang w:val="en-US"/>
              </w:rPr>
            </w:pPr>
            <w:r>
              <w:rPr>
                <w:rFonts w:ascii="Arial" w:hAnsi="Arial"/>
                <w:sz w:val="20"/>
                <w:lang w:val="en-US"/>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lang w:val="en-US"/>
              </w:rPr>
            </w:pPr>
            <w:r>
              <w:rPr>
                <w:rFonts w:ascii="Arial" w:hAnsi="Arial"/>
                <w:sz w:val="20"/>
                <w:lang w:val="en-US"/>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10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Monitoring and reporting</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Logging and Reporting</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Αποθήκευση πληροφορίας των events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Αποθήκευση πληροφορίας των alerts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Αποθήκευση πληροφορίας της κίνησης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6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10.5</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Αποστολή όλης της παραπάνω πληροφορίας σε εξωτερικό σύστημα συλλογής του ίδιου κατασκευαστή ή 3</w:t>
            </w:r>
            <w:r>
              <w:rPr>
                <w:rFonts w:ascii="Calibri" w:hAnsi="Calibri"/>
                <w:sz w:val="12"/>
                <w:color w:val="000000"/>
                <w:vertAlign w:val="superscript"/>
              </w:rPr>
              <w:t>rd</w:t>
            </w:r>
            <w:r>
              <w:rPr>
                <w:rFonts w:ascii="Calibri" w:hAnsi="Calibri"/>
                <w:sz w:val="20"/>
                <w:color w:val="000000"/>
              </w:rPr>
              <w:t xml:space="preserve"> party</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38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10.6</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Αποστολή όλης της παραπάνω πληροφορίας σε syslog server</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558"/>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10.7</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Τα μηνύματα alert να περιλαμβάνουν τα παρακάτω:</w:t>
            </w:r>
          </w:p>
          <w:p>
            <w:pPr>
              <w:rPr>
                <w:rFonts w:ascii="Arial" w:hAnsi="Arial"/>
                <w:sz w:val="20"/>
                <w:color w:val="000000"/>
              </w:rPr>
              <w:numPr>
                <w:ilvl w:val="0"/>
                <w:numId w:val="8"/>
              </w:numPr>
            </w:pPr>
            <w:r>
              <w:rPr>
                <w:rFonts w:ascii="Calibri" w:hAnsi="Calibri"/>
                <w:sz w:val="20"/>
                <w:color w:val="000000"/>
              </w:rPr>
              <w:t>Source και Destination της σύνδεσης</w:t>
            </w:r>
          </w:p>
          <w:p>
            <w:pPr>
              <w:rPr>
                <w:rFonts w:ascii="Arial" w:hAnsi="Arial"/>
                <w:sz w:val="20"/>
                <w:color w:val="000000"/>
              </w:rPr>
              <w:numPr>
                <w:ilvl w:val="0"/>
                <w:numId w:val="8"/>
              </w:numPr>
            </w:pPr>
            <w:r>
              <w:rPr>
                <w:rFonts w:ascii="Calibri" w:hAnsi="Calibri"/>
                <w:sz w:val="20"/>
                <w:color w:val="000000"/>
              </w:rPr>
              <w:t>Εκτενές packet header πληροφορία</w:t>
            </w:r>
          </w:p>
          <w:p>
            <w:pPr>
              <w:rPr>
                <w:rFonts w:ascii="Arial" w:hAnsi="Arial"/>
                <w:sz w:val="20"/>
                <w:color w:val="000000"/>
                <w:lang w:val="en-US"/>
              </w:rPr>
              <w:numPr>
                <w:ilvl w:val="0"/>
                <w:numId w:val="8"/>
              </w:numPr>
            </w:pPr>
            <w:r>
              <w:rPr>
                <w:rFonts w:ascii="Calibri" w:hAnsi="Calibri"/>
                <w:sz w:val="20"/>
                <w:color w:val="000000"/>
                <w:lang w:val="en-US"/>
              </w:rPr>
              <w:t>Raw and Hex body presentation for POST parameters</w:t>
            </w:r>
          </w:p>
          <w:p>
            <w:pPr>
              <w:rPr>
                <w:rFonts w:ascii="Arial" w:hAnsi="Arial"/>
                <w:sz w:val="20"/>
                <w:color w:val="000000"/>
              </w:rPr>
              <w:numPr>
                <w:ilvl w:val="0"/>
                <w:numId w:val="8"/>
              </w:numPr>
            </w:pPr>
            <w:r>
              <w:rPr>
                <w:rFonts w:ascii="Calibri" w:hAnsi="Calibri"/>
                <w:sz w:val="20"/>
                <w:color w:val="000000"/>
              </w:rPr>
              <w:t xml:space="preserve">Full Parameter view </w:t>
            </w:r>
          </w:p>
          <w:p>
            <w:pPr>
              <w:rPr>
                <w:rFonts w:ascii="Arial" w:hAnsi="Arial"/>
                <w:sz w:val="20"/>
                <w:color w:val="000000"/>
                <w:lang w:val="en-US"/>
              </w:rPr>
              <w:numPr>
                <w:ilvl w:val="0"/>
                <w:numId w:val="8"/>
              </w:numPr>
            </w:pPr>
            <w:r>
              <w:rPr>
                <w:rFonts w:ascii="Calibri" w:hAnsi="Calibri"/>
                <w:sz w:val="20"/>
                <w:color w:val="000000"/>
                <w:lang w:val="en-US"/>
              </w:rPr>
              <w:t>Highlighting the attack in the attack log</w:t>
            </w:r>
          </w:p>
          <w:p>
            <w:pPr>
              <w:rPr>
                <w:rFonts w:ascii="Arial" w:hAnsi="Arial"/>
                <w:sz w:val="20"/>
                <w:color w:val="000000"/>
                <w:lang w:val="en-US"/>
              </w:rPr>
              <w:numPr>
                <w:ilvl w:val="0"/>
                <w:numId w:val="8"/>
              </w:numPr>
            </w:pPr>
            <w:r>
              <w:rPr>
                <w:rFonts w:ascii="Calibri" w:hAnsi="Calibri"/>
                <w:sz w:val="20"/>
                <w:color w:val="000000"/>
                <w:lang w:val="en-US"/>
              </w:rPr>
              <w:t>With cookie alerts show the alerted cookie and changed values</w:t>
            </w:r>
          </w:p>
          <w:p>
            <w:pPr>
              <w:rPr>
                <w:rFonts w:ascii="Arial" w:hAnsi="Arial"/>
                <w:sz w:val="20"/>
                <w:color w:val="000000"/>
                <w:lang w:val="en-US"/>
              </w:rPr>
              <w:numPr>
                <w:ilvl w:val="0"/>
                <w:numId w:val="8"/>
              </w:numPr>
            </w:pPr>
            <w:r>
              <w:rPr>
                <w:rFonts w:ascii="Calibri" w:hAnsi="Calibri"/>
                <w:sz w:val="20"/>
                <w:color w:val="000000"/>
                <w:lang w:val="en-US"/>
              </w:rPr>
              <w:t>The solution should aggregate logging per day and per attack type</w:t>
            </w:r>
          </w:p>
          <w:p>
            <w:pPr>
              <w:spacing w:after="160" w:beforeAutospacing="0" w:afterAutospacing="0"/>
              <w:rPr>
                <w:rFonts w:ascii="Arial" w:hAnsi="Arial"/>
                <w:sz w:val="20"/>
                <w:color w:val="000000"/>
                <w:lang w:val="en-US"/>
              </w:rPr>
              <w:numPr>
                <w:ilvl w:val="0"/>
                <w:numId w:val="8"/>
              </w:numPr>
            </w:pPr>
            <w:r>
              <w:rPr>
                <w:rFonts w:ascii="Calibri" w:hAnsi="Calibri"/>
                <w:sz w:val="20"/>
                <w:color w:val="000000"/>
                <w:lang w:val="en-US"/>
              </w:rPr>
              <w:t>The log should show both original encoding and decoded values for analysis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rPr>
            </w:pPr>
            <w:r>
              <w:rPr>
                <w:rFonts w:ascii="Calibri" w:hAnsi="Calibri"/>
                <w:sz w:val="20"/>
                <w:color w:val="000000"/>
              </w:rPr>
              <w:t>Να αναφέρονται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10.8</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 xml:space="preserve">Υποστήριξη της υφιστάμενης λύσης SIEM IBM QRadar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11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Ανάλυση δεδομένων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11.1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Dashboard μέσω του οποίου θα φαίνονται οι παρακάτω πληροφορίες:</w:t>
            </w:r>
          </w:p>
          <w:p>
            <w:pPr>
              <w:rPr>
                <w:rFonts w:ascii="Arial" w:hAnsi="Arial"/>
                <w:sz w:val="20"/>
                <w:color w:val="000000"/>
              </w:rPr>
              <w:numPr>
                <w:ilvl w:val="0"/>
                <w:numId w:val="9"/>
              </w:numPr>
            </w:pPr>
            <w:r>
              <w:rPr>
                <w:rFonts w:ascii="Calibri" w:hAnsi="Calibri"/>
                <w:sz w:val="20"/>
                <w:color w:val="000000"/>
              </w:rPr>
              <w:t>Attacks per Country</w:t>
            </w:r>
          </w:p>
          <w:p>
            <w:pPr>
              <w:rPr>
                <w:rFonts w:ascii="Arial" w:hAnsi="Arial"/>
                <w:sz w:val="20"/>
                <w:color w:val="000000"/>
              </w:rPr>
              <w:numPr>
                <w:ilvl w:val="0"/>
                <w:numId w:val="9"/>
              </w:numPr>
            </w:pPr>
            <w:r>
              <w:rPr>
                <w:rFonts w:ascii="Calibri" w:hAnsi="Calibri"/>
                <w:sz w:val="20"/>
                <w:color w:val="000000"/>
              </w:rPr>
              <w:t>Hits per Country</w:t>
            </w:r>
          </w:p>
          <w:p>
            <w:pPr>
              <w:rPr>
                <w:rFonts w:ascii="Arial" w:hAnsi="Arial"/>
                <w:sz w:val="20"/>
                <w:color w:val="000000"/>
              </w:rPr>
              <w:numPr>
                <w:ilvl w:val="0"/>
                <w:numId w:val="9"/>
              </w:numPr>
            </w:pPr>
            <w:r>
              <w:rPr>
                <w:rFonts w:ascii="Calibri" w:hAnsi="Calibri"/>
                <w:sz w:val="20"/>
                <w:color w:val="000000"/>
              </w:rPr>
              <w:t>Data per Country</w:t>
            </w:r>
          </w:p>
          <w:p>
            <w:pPr>
              <w:rPr>
                <w:rFonts w:ascii="Arial" w:hAnsi="Arial"/>
                <w:sz w:val="20"/>
                <w:color w:val="000000"/>
              </w:rPr>
              <w:numPr>
                <w:ilvl w:val="0"/>
                <w:numId w:val="9"/>
              </w:numPr>
            </w:pPr>
            <w:r>
              <w:rPr>
                <w:rFonts w:ascii="Calibri" w:hAnsi="Calibri"/>
                <w:sz w:val="20"/>
                <w:color w:val="000000"/>
              </w:rPr>
              <w:t>Exportable to PDF</w:t>
            </w:r>
          </w:p>
          <w:p>
            <w:pPr>
              <w:rPr>
                <w:rFonts w:ascii="Arial" w:hAnsi="Arial"/>
                <w:sz w:val="20"/>
                <w:color w:val="000000"/>
                <w:lang w:val="en-US"/>
              </w:rPr>
              <w:numPr>
                <w:ilvl w:val="0"/>
                <w:numId w:val="9"/>
              </w:numPr>
            </w:pPr>
            <w:r>
              <w:rPr>
                <w:rFonts w:ascii="Calibri" w:hAnsi="Calibri"/>
                <w:sz w:val="20"/>
                <w:color w:val="000000"/>
                <w:lang w:val="en-US"/>
              </w:rPr>
              <w:t>Clickable view of the various attacks per website</w:t>
            </w:r>
          </w:p>
          <w:p>
            <w:pPr>
              <w:spacing w:after="160" w:beforeAutospacing="0" w:afterAutospacing="0"/>
              <w:rPr>
                <w:rFonts w:ascii="Arial" w:hAnsi="Arial"/>
                <w:sz w:val="20"/>
                <w:color w:val="000000"/>
                <w:lang w:val="en-US"/>
              </w:rPr>
              <w:numPr>
                <w:ilvl w:val="0"/>
                <w:numId w:val="9"/>
              </w:numPr>
            </w:pPr>
            <w:r>
              <w:rPr>
                <w:rFonts w:ascii="Calibri" w:hAnsi="Calibri"/>
                <w:sz w:val="20"/>
                <w:color w:val="000000"/>
                <w:lang w:val="en-US"/>
              </w:rPr>
              <w:t>Zoom-able world map with color coding of attacks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lang w:val="en-US"/>
              </w:rPr>
            </w:pPr>
            <w:r>
              <w:rPr>
                <w:rFonts w:ascii="Arial" w:hAnsi="Arial"/>
                <w:sz w:val="20"/>
                <w:lang w:val="en-US"/>
              </w:rPr>
              <w:t> </w:t>
            </w:r>
          </w:p>
          <w:p>
            <w:pPr>
              <w:jc w:val="center"/>
              <w:rPr>
                <w:rFonts w:ascii="Arial" w:hAnsi="Arial"/>
                <w:sz w:val="20"/>
              </w:rPr>
            </w:pPr>
            <w:r>
              <w:rPr>
                <w:rFonts w:ascii="Calibri" w:hAnsi="Calibri"/>
                <w:sz w:val="20"/>
                <w:color w:val="000000"/>
              </w:rPr>
              <w:t>Να αναφέρεται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12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 xml:space="preserve">Αποκλεισμός IP διευθύνσεων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rPr>
                <w:rFonts w:ascii="Arial" w:hAnsi="Arial"/>
                <w:sz w:val="20"/>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12.1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παρέχεται η δυνατότητα αποκλεισμού των IP διευθύνσεων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12.2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παρέχει μια εικόνα όλων των IP διευθύνσεων που έχουν που έχουν αποκλειστεί, καθώς επίσης και του χρονικού διαστήματος που θα είναι αποκλεισμένες.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Να αναφέρεται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12.3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Να είναι δυνατή η ελευθέρωση μιας IP διεύθυνσης που έχει αποκλειστεί</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13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Συμμόρφωση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13.1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Η λύση θα πρέπει να μπορεί να προστατεύει τις web εφαρμογές από τις πιο γνωστές απειλές όπως αυτές περιγράφονται στο OWASP 10.</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13.2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Θα πρέπει να διαθέτει πιστοποίηση από ICSA</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shd w:val="clear" w:color="auto" w:fill="D9D9D9"/>
          </w:tcPr>
          <w:p>
            <w:pPr>
              <w:jc w:val="center"/>
              <w:rPr>
                <w:rFonts w:ascii="Arial" w:hAnsi="Arial"/>
                <w:sz w:val="20"/>
              </w:rPr>
            </w:pPr>
            <w:r>
              <w:rPr>
                <w:rFonts w:ascii="Calibri" w:hAnsi="Calibri"/>
                <w:sz w:val="20"/>
                <w:b w:val="1"/>
                <w:color w:val="000000"/>
              </w:rPr>
              <w:t>14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shd w:val="clear" w:color="auto" w:fill="D9D9D9"/>
          </w:tcPr>
          <w:p>
            <w:pPr>
              <w:rPr>
                <w:rFonts w:ascii="Arial" w:hAnsi="Arial"/>
                <w:sz w:val="20"/>
              </w:rPr>
            </w:pPr>
            <w:r>
              <w:rPr>
                <w:rFonts w:ascii="Calibri" w:hAnsi="Calibri"/>
                <w:sz w:val="20"/>
                <w:b w:val="1"/>
                <w:color w:val="000000"/>
              </w:rPr>
              <w:t>Προδιαγραφές τεχνικής υποστήριξης και ειδικοί όροι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shd w:val="clear" w:color="auto" w:fill="D9D9D9"/>
          </w:tcPr>
          <w:p>
            <w:pPr>
              <w:jc w:val="cente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shd w:val="clear" w:color="auto" w:fill="D9D9D9"/>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shd w:val="clear" w:color="auto" w:fill="D9D9D9"/>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14.1</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Υπηρεσίες εγκατάστασης, παραμετροποίησης, πιλοτικής λειτουργίας και εκπαίδευσης. Η εγκατάσταση θα πρέπει να ολοκληρωθεί το αργότερο εντός 25 εργάσιμων ημερών από την έναρξη της υλοποίησης. Η εκπαίδευση θα διαρκέσει 1 εργάσιμη ημέρα (8 ώρες) και θα λάβει χώρα μετά την ολοκλήρωση της εγκατάστασης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14.2</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Ο Ανάδοχος καλείται να προσφέρει ένα (1) έτος εγγύηση καλής λειτουργίας της προσφερόμενης λύσης η οποία θα αρχίζει από την υπογραφή του Πρωτοκόλλου Οριστικής Παραλαβής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Arial" w:hAnsi="Arial"/>
                <w:sz w:val="20"/>
              </w:rPr>
              <w:t> </w:t>
            </w:r>
          </w:p>
          <w:p>
            <w:pPr>
              <w:jc w:val="center"/>
              <w:rPr>
                <w:rFonts w:ascii="Arial" w:hAnsi="Arial"/>
                <w:sz w:val="20"/>
              </w:rPr>
            </w:pPr>
            <w:r>
              <w:rPr>
                <w:rFonts w:ascii="Arial" w:hAnsi="Arial"/>
                <w:sz w:val="20"/>
              </w:rPr>
              <w:t> </w:t>
            </w:r>
          </w:p>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14.3</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r>
              <w:rPr>
                <w:rFonts w:ascii="Calibri" w:hAnsi="Calibri"/>
                <w:sz w:val="20"/>
                <w:color w:val="000000"/>
              </w:rPr>
              <w:t>Ο Ανάδοχος θα προσφέρει υπηρεσίες συντήρησης, τεχνικής υποστήριξης (9</w:t>
            </w:r>
            <w:r>
              <w:rPr>
                <w:rFonts w:ascii="Calibri" w:hAnsi="Calibri"/>
                <w:sz w:val="20"/>
                <w:color w:val="000000"/>
                <w:lang w:val="en-US"/>
              </w:rPr>
              <w:t>x</w:t>
            </w:r>
            <w:r>
              <w:rPr>
                <w:rFonts w:ascii="Calibri" w:hAnsi="Calibri"/>
                <w:sz w:val="20"/>
                <w:color w:val="000000"/>
              </w:rPr>
              <w:t xml:space="preserve">5 </w:t>
            </w:r>
            <w:r>
              <w:rPr>
                <w:rFonts w:ascii="Calibri" w:hAnsi="Calibri"/>
                <w:sz w:val="20"/>
                <w:color w:val="000000"/>
                <w:lang w:val="en-US"/>
              </w:rPr>
              <w:t>NBD</w:t>
            </w:r>
            <w:r>
              <w:rPr>
                <w:rFonts w:ascii="Calibri" w:hAnsi="Calibri"/>
                <w:sz w:val="20"/>
                <w:color w:val="000000"/>
              </w:rPr>
              <w:t>) και ενημερωμένων εκδόσεων για ένα (1) έτος από την υπογραφή του Πρωτοκόλλου Οριστικής Παραλαβής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r>
        <w:trPr>
          <w:trHeight w:hRule="atLeast" w:val="1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0" w:type="auto"/>
          </w:tcPr>
          <w:p>
            <w:pPr>
              <w:jc w:val="center"/>
              <w:rPr>
                <w:rFonts w:ascii="Arial" w:hAnsi="Arial"/>
                <w:sz w:val="20"/>
              </w:rPr>
            </w:pPr>
            <w:r>
              <w:rPr>
                <w:rFonts w:ascii="Calibri" w:hAnsi="Calibri"/>
                <w:sz w:val="20"/>
                <w:color w:val="000000"/>
              </w:rPr>
              <w:t>14.4</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6160" w:type="dxa"/>
          </w:tcPr>
          <w:p>
            <w:pPr>
              <w:rPr>
                <w:rFonts w:ascii="Arial" w:hAnsi="Arial"/>
                <w:sz w:val="20"/>
              </w:rPr>
            </w:pPr>
            <w:bookmarkStart w:id="0" w:name="_GoBack"/>
            <w:r>
              <w:rPr>
                <w:rFonts w:ascii="Calibri" w:hAnsi="Calibri"/>
                <w:sz w:val="20"/>
                <w:color w:val="000000"/>
              </w:rPr>
              <w:t>Ο Ανάδοχος θα πρέπει να είναι πιστοποιημένος στη διαχείριση της ασφάλειας κατά ISO/IEC 27001</w:t>
            </w:r>
            <w:bookmarkEnd w:id="0"/>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518" w:type="dxa"/>
          </w:tcPr>
          <w:p>
            <w:pPr>
              <w:jc w:val="center"/>
              <w:rPr>
                <w:rFonts w:ascii="Arial" w:hAnsi="Arial"/>
                <w:sz w:val="20"/>
              </w:rPr>
            </w:pPr>
            <w:r>
              <w:rPr>
                <w:rFonts w:ascii="Calibri" w:hAnsi="Calibri"/>
                <w:sz w:val="20"/>
                <w:color w:val="000000"/>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085" w:type="dxa"/>
          </w:tcPr>
          <w:p>
            <w:pPr>
              <w:rPr>
                <w:rFonts w:ascii="Arial" w:hAnsi="Arial"/>
                <w:sz w:val="20"/>
              </w:rPr>
            </w:pPr>
            <w:r>
              <w:rPr>
                <w:rFonts w:ascii="Arial" w:hAnsi="Arial"/>
                <w:sz w:val="20"/>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Mar>
              <w:top w:w="0" w:type="dxa"/>
              <w:left w:w="115" w:type="dxa"/>
              <w:bottom w:w="0" w:type="dxa"/>
              <w:right w:w="115" w:type="dxa"/>
            </w:tcMar>
            <w:hideMark w:val="1"/>
            <w:tcW w:w="1264" w:type="dxa"/>
          </w:tcPr>
          <w:p>
            <w:pPr>
              <w:rPr>
                <w:rFonts w:ascii="Arial" w:hAnsi="Arial"/>
                <w:sz w:val="20"/>
              </w:rPr>
            </w:pPr>
            <w:r>
              <w:rPr>
                <w:rFonts w:ascii="Arial" w:hAnsi="Arial"/>
                <w:sz w:val="20"/>
              </w:rPr>
              <w:t> </w:t>
            </w:r>
          </w:p>
        </w:tc>
      </w:tr>
    </w:tbl>
    <w:p/>
    <w:p/>
    <w:sectPr>
      <w:type w:val="nextPage"/>
      <w:pgSz w:w="11906" w:h="16838" w:code="0"/>
      <w:pgMar w:left="720" w:right="720" w:top="720" w:bottom="720" w:header="708" w:footer="708" w:gutter="0"/>
    </w:sectPr>
  </w:body>
</w:document>
</file>

<file path=word/numbering.xml><?xml version="1.0" encoding="utf-8"?>
<w:numbering xmlns:w="http://schemas.openxmlformats.org/wordprocessingml/2006/main">
  <w:abstractNum w:abstractNumId="0">
    <w:nsid w:val="3685ECC"/>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1">
    <w:nsid w:val="6E0024B"/>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2">
    <w:nsid w:val="2F5765E5"/>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3">
    <w:nsid w:val="32B57F0E"/>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4">
    <w:nsid w:val="359E22E2"/>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5">
    <w:nsid w:val="48A95000"/>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6">
    <w:nsid w:val="4D0868E9"/>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7">
    <w:nsid w:val="5A4725C5"/>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abstractNum w:abstractNumId="8">
    <w:nsid w:val="6ECC5838"/>
    <w:multiLevelType w:val="multilevel"/>
    <w:lvl w:ilvl="0">
      <w:pPr>
        <w:ind w:hanging="360" w:left="720"/>
      </w:pPr>
      <w:rPr>
        <w:rFonts w:ascii="Symbol" w:hAnsi="Symbol"/>
        <w:sz w:val="20"/>
      </w:rPr>
      <w:lvlJc w:val="left"/>
      <w:start w:val="1"/>
      <w:numFmt w:val="bullet"/>
      <w:lvlText w:val=""/>
      <w:suff w:val="tab"/>
    </w:lvl>
    <w:lvl w:ilvl="1">
      <w:pPr>
        <w:ind w:hanging="360" w:left="1440"/>
      </w:pPr>
      <w:rPr>
        <w:rFonts w:ascii="Courier New" w:hAnsi="Courier New"/>
        <w:sz w:val="20"/>
      </w:rPr>
      <w:lvlJc w:val="left"/>
      <w:start w:val="1"/>
      <w:numFmt w:val="bullet"/>
      <w:lvlText w:val="o"/>
      <w:suff w:val="tab"/>
    </w:lvl>
    <w:lvl w:ilvl="2">
      <w:pPr>
        <w:ind w:hanging="360" w:left="2160"/>
      </w:pPr>
      <w:rPr>
        <w:rFonts w:ascii="Wingdings" w:hAnsi="Wingdings"/>
        <w:sz w:val="20"/>
      </w:rPr>
      <w:lvlJc w:val="left"/>
      <w:start w:val="1"/>
      <w:numFmt w:val="bullet"/>
      <w:lvlText w:val=""/>
      <w:suff w:val="tab"/>
    </w:lvl>
    <w:lvl w:ilvl="3">
      <w:pPr>
        <w:ind w:hanging="360" w:left="2880"/>
      </w:pPr>
      <w:rPr>
        <w:rFonts w:ascii="Wingdings" w:hAnsi="Wingdings"/>
        <w:sz w:val="20"/>
      </w:rPr>
      <w:lvlJc w:val="left"/>
      <w:start w:val="1"/>
      <w:numFmt w:val="bullet"/>
      <w:lvlText w:val=""/>
      <w:suff w:val="tab"/>
    </w:lvl>
    <w:lvl w:ilvl="4">
      <w:pPr>
        <w:ind w:hanging="360" w:left="3600"/>
      </w:pPr>
      <w:rPr>
        <w:rFonts w:ascii="Wingdings" w:hAnsi="Wingdings"/>
        <w:sz w:val="20"/>
      </w:rPr>
      <w:lvlJc w:val="left"/>
      <w:start w:val="1"/>
      <w:numFmt w:val="bullet"/>
      <w:lvlText w:val=""/>
      <w:suff w:val="tab"/>
    </w:lvl>
    <w:lvl w:ilvl="5">
      <w:pPr>
        <w:ind w:hanging="360" w:left="4320"/>
      </w:pPr>
      <w:rPr>
        <w:rFonts w:ascii="Wingdings" w:hAnsi="Wingdings"/>
        <w:sz w:val="20"/>
      </w:rPr>
      <w:lvlJc w:val="left"/>
      <w:start w:val="1"/>
      <w:numFmt w:val="bullet"/>
      <w:lvlText w:val=""/>
      <w:suff w:val="tab"/>
    </w:lvl>
    <w:lvl w:ilvl="6">
      <w:pPr>
        <w:ind w:hanging="360" w:left="5040"/>
      </w:pPr>
      <w:rPr>
        <w:rFonts w:ascii="Wingdings" w:hAnsi="Wingdings"/>
        <w:sz w:val="20"/>
      </w:rPr>
      <w:lvlJc w:val="left"/>
      <w:start w:val="1"/>
      <w:numFmt w:val="bullet"/>
      <w:lvlText w:val=""/>
      <w:suff w:val="tab"/>
    </w:lvl>
    <w:lvl w:ilvl="7">
      <w:pPr>
        <w:ind w:hanging="360" w:left="5760"/>
      </w:pPr>
      <w:rPr>
        <w:rFonts w:ascii="Wingdings" w:hAnsi="Wingdings"/>
        <w:sz w:val="20"/>
      </w:rPr>
      <w:lvlJc w:val="left"/>
      <w:start w:val="1"/>
      <w:numFmt w:val="bullet"/>
      <w:lvlText w:val=""/>
      <w:suff w:val="tab"/>
    </w:lvl>
    <w:lvl w:ilvl="8">
      <w:pPr>
        <w:ind w:hanging="360" w:left="6480"/>
      </w:pPr>
      <w:rPr>
        <w:rFonts w:ascii="Wingdings" w:hAnsi="Wingdings"/>
        <w:sz w:val="20"/>
      </w:rPr>
      <w:lvlJc w:val="left"/>
      <w:start w:val="1"/>
      <w:numFmt w:val="bullet"/>
      <w:lvlText w:val=""/>
      <w:suff w:val="tab"/>
    </w:lvl>
  </w:abstractNum>
  <w:num w:numId="1">
    <w:abstractNumId w:val="1"/>
  </w:num>
  <w:num w:numId="2">
    <w:abstractNumId w:val="8"/>
  </w:num>
  <w:num w:numId="3">
    <w:abstractNumId w:val="5"/>
  </w:num>
  <w:num w:numId="4">
    <w:abstractNumId w:val="4"/>
  </w:num>
  <w:num w:numId="5">
    <w:abstractNumId w:val="3"/>
  </w:num>
  <w:num w:numId="6">
    <w:abstractNumId w:val="6"/>
  </w:num>
  <w:num w:numId="7">
    <w:abstractNumId w:val="0"/>
  </w:num>
  <w:num w:numId="8">
    <w:abstractNumId w:val="7"/>
  </w:num>
  <w:num w:numId="9">
    <w:abstractNumId w:val="2"/>
  </w:num>
</w:numbering>
</file>

<file path=word/settings.xml><?xml version="1.0" encoding="utf-8"?>
<w:settings xmlns:w="http://schemas.openxmlformats.org/wordprocessingml/2006/main">
  <w:autoHyphenation w:val="0"/>
  <w:defaultTabStop w:val="720"/>
  <w:evenAndOddHeaders w:val="0"/>
  <w:displayBackgroundShape w:val="0"/>
  <w:clrSchemeMapping/>
</w:settings>
</file>

<file path=word/styles.xml><?xml version="1.0" encoding="utf-8"?>
<w:styles xmlns:w="http://schemas.openxmlformats.org/wordprocessingml/2006/main">
  <w:docDefaults>
    <w:rPrDefault>
      <w:rPr>
        <w:rFonts w:ascii="Calibri" w:hAnsi="Calibri"/>
        <w:sz w:val="22"/>
        <w:b w:val="0"/>
        <w:i w:val="0"/>
        <w:caps w:val="0"/>
        <w:color w:val="000000"/>
        <w:vanish w:val="0"/>
        <w:u w:val="none"/>
        <w:strike w:val="0"/>
        <w:vertAlign w:val="baseline"/>
        <w:lang w:val="en-US" w:bidi="ar-SA" w:eastAsia="en-US"/>
        <w:noProof w:val="0"/>
      </w:rPr>
    </w:rPrDefault>
    <w:pPrDefault>
      <w:pPr>
        <w:jc w:val="left"/>
        <w:spacing w:lineRule="auto" w:line="259" w:before="0" w:after="160" w:beforeAutospacing="0" w:afterAutospacing="0"/>
        <w:ind w:firstLine="0" w:left="0" w:right="0"/>
        <w:suppressAutoHyphens w:val="0"/>
        <w:suppressLineNumbers w:val="0"/>
        <w:contextualSpacing w:val="0"/>
        <w:keepNext w:val="0"/>
        <w:keepLines w:val="0"/>
        <w:widowControl w:val="1"/>
        <w:shd w:fill="auto"/>
      </w:pPr>
    </w:pPrDefault>
  </w:docDefaults>
  <w:style w:type="paragraph" w:styleId="P0" w:default="1">
    <w:name w:val="Normal"/>
    <w:qFormat/>
    <w:pPr>
      <w:spacing w:lineRule="auto" w:line="240" w:after="0" w:beforeAutospacing="0" w:afterAutospacing="0"/>
    </w:pPr>
    <w:rPr>
      <w:lang w:val="el-GR" w:eastAsia="el-G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